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Style w:val="4"/>
          <w:rFonts w:hint="default" w:ascii="Times New Roman" w:hAnsi="Times New Roman" w:cs="Times New Roman"/>
          <w:color w:val="auto"/>
          <w:lang w:bidi="ar"/>
        </w:rPr>
      </w:pPr>
      <w:r>
        <w:rPr>
          <w:rStyle w:val="4"/>
          <w:rFonts w:hint="default" w:ascii="Times New Roman" w:hAnsi="Times New Roman" w:cs="Times New Roman"/>
          <w:color w:val="auto"/>
          <w:lang w:bidi="ar"/>
        </w:rPr>
        <w:t>附件1</w:t>
      </w:r>
    </w:p>
    <w:p>
      <w:pPr>
        <w:overflowPunct w:val="0"/>
        <w:topLinePunct/>
        <w:spacing w:line="590" w:lineRule="exact"/>
        <w:jc w:val="center"/>
        <w:rPr>
          <w:rStyle w:val="4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</w:p>
    <w:p>
      <w:pPr>
        <w:overflowPunct w:val="0"/>
        <w:topLinePunct/>
        <w:spacing w:line="590" w:lineRule="exact"/>
        <w:jc w:val="center"/>
        <w:rPr>
          <w:rStyle w:val="4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bookmarkStart w:id="0" w:name="_GoBack"/>
      <w:r>
        <w:rPr>
          <w:rStyle w:val="4"/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2025年</w:t>
      </w:r>
      <w:r>
        <w:rPr>
          <w:rStyle w:val="4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浙江省中华职业教育科研项目</w:t>
      </w:r>
    </w:p>
    <w:p>
      <w:pPr>
        <w:overflowPunct w:val="0"/>
        <w:topLinePunct/>
        <w:spacing w:before="120" w:beforeLines="50"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重点选题方向</w:t>
      </w:r>
    </w:p>
    <w:bookmarkEnd w:id="0"/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省域现代职业教育体系建设服务共同富裕的浙江探索和实践研究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县域产业学院建设机制与策略研究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市域产教联合体、行业产教融合共同体建设研究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职业教育长学制人才培养质量保障机制研究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职普融通的困境和路径研究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 职业教育课程思政融入路径与实施效果研究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 我省职业教育“职教出海”路径研究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 拔尖型技能人才成长规律与培养策略研究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 职业教育现场工程师培养模式与实施路径研究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 数智化背景下职业教育专业、课程、教材、教师、实习实训等教学关键要素改革研究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11. “十五五”期间技工教育高质量特色发展研究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12. 技工院校工学一体化教学改革路径研究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13. 技工院校学生职业核心能力培养研究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14. 技工院校构建特色德育教育体系研究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15. 技工院校高水平师资队伍建设研究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16. 围绕产业布局建设特色技工院校研究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pacing w:val="-6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 xml:space="preserve">17. </w:t>
      </w:r>
      <w:r>
        <w:rPr>
          <w:rFonts w:eastAsia="仿宋_GB2312"/>
          <w:color w:val="000000"/>
          <w:spacing w:val="-6"/>
          <w:kern w:val="0"/>
          <w:sz w:val="32"/>
          <w:szCs w:val="32"/>
          <w:lang w:bidi="ar"/>
        </w:rPr>
        <w:t>技工院校职业技能竞赛推动技能人才培养质量提升研究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18. 技工院校教学资源产教融合校本化开发研究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19. 技工院校教学质量监控与评价体系研究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20. 现代技工学校建设研究</w:t>
      </w: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21. 技工院校校企合作混合所有制模式研究</w:t>
      </w: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22. 大学生技能提升新路径研究</w:t>
      </w:r>
    </w:p>
    <w:p>
      <w:pPr>
        <w:spacing w:line="5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99C7"/>
    <w:rsid w:val="7FED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2025-03-31T11:15:00Z</dcterms:created>
  <dc:creator>user</dc:creator>
  <cp:lastModifiedBy>user</cp:lastModifiedBy>
  <dcterms:modified xsi:type="dcterms:W3CDTF">2025-03-31T11:16:48Z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4A3392BBEE5C8126EE08EA679B367961</vt:lpwstr>
  </property>
</Properties>
</file>